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4E1A1AF2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9215C1">
        <w:rPr>
          <w:lang w:val="sv-SE"/>
        </w:rPr>
        <w:t xml:space="preserve"> ABM</w:t>
      </w:r>
    </w:p>
    <w:p w14:paraId="656BBA33" w14:textId="50989BF0" w:rsidR="008C280D" w:rsidRPr="009215C1" w:rsidRDefault="001A1A95" w:rsidP="008C280D">
      <w:pPr>
        <w:pStyle w:val="Infotext"/>
        <w:rPr>
          <w:caps/>
          <w:lang w:val="sv-SE"/>
        </w:rPr>
        <w:sectPr w:rsidR="008C280D" w:rsidRPr="009215C1" w:rsidSect="00BD4C09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</w:t>
      </w:r>
      <w:r w:rsidR="009215C1">
        <w:rPr>
          <w:caps/>
          <w:lang w:val="sv-SE"/>
        </w:rPr>
        <w:t>A</w:t>
      </w:r>
    </w:p>
    <w:p w14:paraId="402BD2E3" w14:textId="56CC7F12" w:rsidR="009215C1" w:rsidRPr="009215C1" w:rsidRDefault="00CE4B94" w:rsidP="009215C1">
      <w:pPr>
        <w:pStyle w:val="Rubrik1"/>
        <w:rPr>
          <w:lang w:val="sv-SE"/>
        </w:rPr>
      </w:pPr>
      <w:r w:rsidRPr="009215C1">
        <w:rPr>
          <w:lang w:val="sv-SE"/>
        </w:rPr>
        <w:t xml:space="preserve">Kurslitteratur för </w:t>
      </w:r>
      <w:r w:rsidR="009215C1" w:rsidRPr="009215C1">
        <w:rPr>
          <w:lang w:val="sv-SE"/>
        </w:rPr>
        <w:t>ABMA20</w:t>
      </w:r>
      <w:r w:rsidRPr="009215C1">
        <w:rPr>
          <w:lang w:val="sv-SE"/>
        </w:rPr>
        <w:t xml:space="preserve"> </w:t>
      </w:r>
      <w:r w:rsidR="009215C1" w:rsidRPr="009215C1">
        <w:rPr>
          <w:lang w:val="sv-SE"/>
        </w:rPr>
        <w:t xml:space="preserve">Grundläggande hantering och skydd av personuppgifter inom arkivsektorn, 7,5 </w:t>
      </w:r>
      <w:proofErr w:type="spellStart"/>
      <w:r w:rsidR="009215C1" w:rsidRPr="009215C1">
        <w:rPr>
          <w:lang w:val="sv-SE"/>
        </w:rPr>
        <w:t>hp</w:t>
      </w:r>
      <w:proofErr w:type="spellEnd"/>
      <w:r w:rsidR="009215C1" w:rsidRPr="009215C1">
        <w:rPr>
          <w:lang w:val="sv-SE"/>
        </w:rPr>
        <w:t xml:space="preserve"> ht 2024</w:t>
      </w:r>
    </w:p>
    <w:p w14:paraId="1258690B" w14:textId="1EF8F9EC" w:rsidR="00CE4B94" w:rsidRPr="009215C1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9215C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Fastställd av institutionsstyrelsen eller motsvarande, </w:t>
      </w:r>
      <w:r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9215C1"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24</w:t>
      </w:r>
      <w:r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9215C1"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06</w:t>
      </w:r>
      <w:r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9215C1" w:rsidRPr="00D2643E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</w:p>
    <w:p w14:paraId="119356E3" w14:textId="5C790FB7" w:rsidR="00CA3BA7" w:rsidRPr="009215C1" w:rsidRDefault="00CA3BA7" w:rsidP="00CA3BA7">
      <w:pPr>
        <w:pStyle w:val="Brdtext"/>
        <w:rPr>
          <w:sz w:val="24"/>
          <w:szCs w:val="24"/>
          <w:lang w:val="sv-SE"/>
        </w:rPr>
      </w:pPr>
    </w:p>
    <w:p w14:paraId="318E11EB" w14:textId="77777777" w:rsidR="00CA3BA7" w:rsidRPr="0023426B" w:rsidRDefault="00CA3BA7" w:rsidP="00CA3BA7">
      <w:pPr>
        <w:pStyle w:val="Brdtext"/>
        <w:rPr>
          <w:rFonts w:ascii="Adobe Garamond Pro" w:hAnsi="Adobe Garamond Pro"/>
          <w:sz w:val="22"/>
          <w:szCs w:val="22"/>
          <w:lang w:val="sv-SE"/>
        </w:rPr>
      </w:pPr>
      <w:r w:rsidRPr="0023426B">
        <w:rPr>
          <w:rFonts w:ascii="Adobe Garamond Pro" w:hAnsi="Adobe Garamond Pro"/>
          <w:sz w:val="22"/>
          <w:szCs w:val="22"/>
          <w:lang w:val="sv-SE"/>
        </w:rPr>
        <w:t xml:space="preserve">Litteraturen söks i </w:t>
      </w:r>
      <w:proofErr w:type="spellStart"/>
      <w:r w:rsidRPr="0023426B">
        <w:rPr>
          <w:rFonts w:ascii="Adobe Garamond Pro" w:hAnsi="Adobe Garamond Pro"/>
          <w:sz w:val="22"/>
          <w:szCs w:val="22"/>
          <w:lang w:val="sv-SE"/>
        </w:rPr>
        <w:t>LUBcat</w:t>
      </w:r>
      <w:proofErr w:type="spellEnd"/>
      <w:r w:rsidRPr="0023426B">
        <w:rPr>
          <w:rFonts w:ascii="Adobe Garamond Pro" w:hAnsi="Adobe Garamond Pro"/>
          <w:sz w:val="22"/>
          <w:szCs w:val="22"/>
          <w:lang w:val="sv-SE"/>
        </w:rPr>
        <w:t xml:space="preserve"> och/eller </w:t>
      </w:r>
      <w:proofErr w:type="spellStart"/>
      <w:r w:rsidRPr="0023426B">
        <w:rPr>
          <w:rFonts w:ascii="Adobe Garamond Pro" w:hAnsi="Adobe Garamond Pro"/>
          <w:sz w:val="22"/>
          <w:szCs w:val="22"/>
          <w:lang w:val="sv-SE"/>
        </w:rPr>
        <w:t>LUBsearch</w:t>
      </w:r>
      <w:proofErr w:type="spellEnd"/>
      <w:r w:rsidRPr="0023426B">
        <w:rPr>
          <w:rFonts w:ascii="Adobe Garamond Pro" w:hAnsi="Adobe Garamond Pro"/>
          <w:sz w:val="22"/>
          <w:szCs w:val="22"/>
          <w:lang w:val="sv-SE"/>
        </w:rPr>
        <w:t xml:space="preserve"> om inget annat anges.</w:t>
      </w:r>
    </w:p>
    <w:p w14:paraId="13FC1F67" w14:textId="77777777" w:rsidR="00CA3BA7" w:rsidRPr="0023426B" w:rsidRDefault="00CA3BA7" w:rsidP="00CA3BA7">
      <w:pPr>
        <w:pStyle w:val="Brdtext"/>
        <w:rPr>
          <w:rFonts w:ascii="Adobe Garamond Pro" w:hAnsi="Adobe Garamond Pro"/>
          <w:sz w:val="22"/>
          <w:szCs w:val="22"/>
          <w:lang w:val="sv-SE"/>
        </w:rPr>
      </w:pPr>
    </w:p>
    <w:p w14:paraId="3D08EA41" w14:textId="7B1B655B" w:rsidR="009215C1" w:rsidRPr="0023426B" w:rsidRDefault="009215C1" w:rsidP="009215C1">
      <w:pPr>
        <w:rPr>
          <w:rFonts w:ascii="Adobe Garamond Pro" w:hAnsi="Adobe Garamond Pro"/>
          <w:b/>
          <w:bCs/>
          <w:szCs w:val="22"/>
          <w:lang w:val="sv-SE"/>
        </w:rPr>
      </w:pPr>
      <w:r w:rsidRPr="0023426B">
        <w:rPr>
          <w:rFonts w:ascii="Adobe Garamond Pro" w:hAnsi="Adobe Garamond Pro"/>
          <w:b/>
          <w:bCs/>
          <w:szCs w:val="22"/>
          <w:lang w:val="sv-SE"/>
        </w:rPr>
        <w:t>Obligatoriskt litteratur</w:t>
      </w:r>
    </w:p>
    <w:p w14:paraId="1A0F83CD" w14:textId="77777777" w:rsidR="009215C1" w:rsidRPr="0023426B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7ABB20C2" w14:textId="06616519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</w:rPr>
      </w:pPr>
      <w:r w:rsidRPr="0023426B">
        <w:rPr>
          <w:rFonts w:ascii="Adobe Garamond Pro" w:hAnsi="Adobe Garamond Pro"/>
          <w:szCs w:val="22"/>
          <w:lang w:val="sv-SE"/>
        </w:rPr>
        <w:t xml:space="preserve">Boman, Maria (2018) Leverans av arkivmaterial I: 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Hagström, Charlotte &amp; Ketola, Anna (red.) </w:t>
      </w:r>
      <w:r w:rsidRPr="0023426B">
        <w:rPr>
          <w:rFonts w:ascii="Adobe Garamond Pro" w:hAnsi="Adobe Garamond Pro" w:cs="Lucida Grande"/>
          <w:color w:val="444444"/>
          <w:szCs w:val="22"/>
        </w:rPr>
        <w:t>(2018). </w:t>
      </w:r>
      <w:proofErr w:type="spellStart"/>
      <w:r w:rsidRPr="0023426B">
        <w:rPr>
          <w:rFonts w:ascii="Adobe Garamond Pro" w:hAnsi="Adobe Garamond Pro" w:cs="Lucida Grande"/>
          <w:i/>
          <w:iCs/>
          <w:color w:val="444444"/>
          <w:szCs w:val="22"/>
        </w:rPr>
        <w:t>Enskilda</w:t>
      </w:r>
      <w:proofErr w:type="spellEnd"/>
      <w:r w:rsidRPr="0023426B">
        <w:rPr>
          <w:rFonts w:ascii="Adobe Garamond Pro" w:hAnsi="Adobe Garamond Pro" w:cs="Lucida Grande"/>
          <w:i/>
          <w:iCs/>
          <w:color w:val="444444"/>
          <w:szCs w:val="22"/>
        </w:rPr>
        <w:t xml:space="preserve"> </w:t>
      </w:r>
      <w:proofErr w:type="spellStart"/>
      <w:r w:rsidRPr="0023426B">
        <w:rPr>
          <w:rFonts w:ascii="Adobe Garamond Pro" w:hAnsi="Adobe Garamond Pro" w:cs="Lucida Grande"/>
          <w:i/>
          <w:iCs/>
          <w:color w:val="444444"/>
          <w:szCs w:val="22"/>
        </w:rPr>
        <w:t>arkiv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</w:rPr>
        <w:t xml:space="preserve">.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</w:rPr>
        <w:t>Upplaga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</w:rPr>
        <w:t xml:space="preserve"> 1 Lund: Studentlitteratur. </w:t>
      </w:r>
      <w:r w:rsidR="00BA34E5">
        <w:rPr>
          <w:rFonts w:ascii="Adobe Garamond Pro" w:hAnsi="Adobe Garamond Pro" w:cs="Lucida Grande"/>
          <w:color w:val="444444"/>
          <w:szCs w:val="22"/>
        </w:rPr>
        <w:t>(</w:t>
      </w:r>
      <w:r w:rsidRPr="0023426B">
        <w:rPr>
          <w:rFonts w:ascii="Adobe Garamond Pro" w:hAnsi="Adobe Garamond Pro"/>
          <w:szCs w:val="22"/>
        </w:rPr>
        <w:t xml:space="preserve">s73-87) </w:t>
      </w:r>
      <w:r w:rsidR="00BA34E5" w:rsidRPr="00BA34E5">
        <w:rPr>
          <w:rFonts w:ascii="Adobe Garamond Pro" w:hAnsi="Adobe Garamond Pro"/>
          <w:szCs w:val="22"/>
        </w:rPr>
        <w:t>ISBN 9789144122441</w:t>
      </w:r>
      <w:r w:rsidR="00BA34E5" w:rsidRPr="00BA34E5">
        <w:rPr>
          <w:rFonts w:ascii="Adobe Garamond Pro" w:hAnsi="Adobe Garamond Pro"/>
          <w:szCs w:val="22"/>
        </w:rPr>
        <w:t xml:space="preserve"> </w:t>
      </w:r>
      <w:r w:rsidRPr="0023426B">
        <w:rPr>
          <w:rFonts w:ascii="Adobe Garamond Pro" w:hAnsi="Adobe Garamond Pro"/>
          <w:szCs w:val="22"/>
        </w:rPr>
        <w:t>(14</w:t>
      </w:r>
      <w:r w:rsidR="00D2643E">
        <w:rPr>
          <w:rFonts w:ascii="Adobe Garamond Pro" w:hAnsi="Adobe Garamond Pro"/>
          <w:szCs w:val="22"/>
        </w:rPr>
        <w:t xml:space="preserve"> </w:t>
      </w:r>
      <w:proofErr w:type="spellStart"/>
      <w:r w:rsidRPr="0023426B">
        <w:rPr>
          <w:rFonts w:ascii="Adobe Garamond Pro" w:hAnsi="Adobe Garamond Pro"/>
          <w:szCs w:val="22"/>
        </w:rPr>
        <w:t>sidor</w:t>
      </w:r>
      <w:proofErr w:type="spellEnd"/>
      <w:r w:rsidRPr="0023426B">
        <w:rPr>
          <w:rFonts w:ascii="Adobe Garamond Pro" w:hAnsi="Adobe Garamond Pro"/>
          <w:szCs w:val="22"/>
        </w:rPr>
        <w:t>)</w:t>
      </w:r>
    </w:p>
    <w:p w14:paraId="77E4AD6E" w14:textId="77777777" w:rsidR="009215C1" w:rsidRPr="0023426B" w:rsidRDefault="009215C1" w:rsidP="009215C1">
      <w:pPr>
        <w:rPr>
          <w:rFonts w:ascii="Adobe Garamond Pro" w:hAnsi="Adobe Garamond Pro"/>
          <w:szCs w:val="22"/>
        </w:rPr>
      </w:pPr>
    </w:p>
    <w:p w14:paraId="59D46828" w14:textId="2657CD4A" w:rsidR="00D2643E" w:rsidRPr="0023426B" w:rsidRDefault="009215C1" w:rsidP="009215C1">
      <w:pPr>
        <w:rPr>
          <w:rFonts w:ascii="Adobe Garamond Pro" w:hAnsi="Adobe Garamond Pro"/>
          <w:szCs w:val="22"/>
          <w:lang w:val="en-US"/>
        </w:rPr>
      </w:pPr>
      <w:r w:rsidRPr="0023426B">
        <w:rPr>
          <w:rFonts w:ascii="Adobe Garamond Pro" w:hAnsi="Adobe Garamond Pro"/>
          <w:szCs w:val="22"/>
          <w:lang w:val="en-US"/>
        </w:rPr>
        <w:t xml:space="preserve">Cook, M. (2006). Professional ethics and practice in archives and records management in a human rights context. Journal of the Society of Archivists, 27(1), 1–15. </w:t>
      </w:r>
      <w:hyperlink r:id="rId14" w:history="1">
        <w:r w:rsidR="00D2643E">
          <w:rPr>
            <w:rStyle w:val="Hyperlnk"/>
            <w:rFonts w:ascii="Adobe Garamond Pro" w:hAnsi="Adobe Garamond Pro"/>
            <w:szCs w:val="22"/>
            <w:lang w:val="en-US"/>
          </w:rPr>
          <w:t>https://doi.org</w:t>
        </w:r>
        <w:r w:rsidR="00D2643E">
          <w:rPr>
            <w:rStyle w:val="Hyperlnk"/>
            <w:rFonts w:ascii="Adobe Garamond Pro" w:hAnsi="Adobe Garamond Pro"/>
            <w:szCs w:val="22"/>
            <w:lang w:val="en-US"/>
          </w:rPr>
          <w:t>/</w:t>
        </w:r>
        <w:r w:rsidR="00D2643E">
          <w:rPr>
            <w:rStyle w:val="Hyperlnk"/>
            <w:rFonts w:ascii="Adobe Garamond Pro" w:hAnsi="Adobe Garamond Pro"/>
            <w:szCs w:val="22"/>
            <w:lang w:val="en-US"/>
          </w:rPr>
          <w:t>10.1080/00039810600691205</w:t>
        </w:r>
      </w:hyperlink>
      <w:r w:rsidR="00D2643E">
        <w:rPr>
          <w:rFonts w:ascii="Adobe Garamond Pro" w:hAnsi="Adobe Garamond Pro"/>
          <w:szCs w:val="22"/>
          <w:lang w:val="en-US"/>
        </w:rPr>
        <w:t xml:space="preserve"> (15 </w:t>
      </w:r>
      <w:proofErr w:type="spellStart"/>
      <w:r w:rsidR="00D2643E">
        <w:rPr>
          <w:rFonts w:ascii="Adobe Garamond Pro" w:hAnsi="Adobe Garamond Pro"/>
          <w:szCs w:val="22"/>
          <w:lang w:val="en-US"/>
        </w:rPr>
        <w:t>sidor</w:t>
      </w:r>
      <w:proofErr w:type="spellEnd"/>
      <w:r w:rsidR="00D2643E">
        <w:rPr>
          <w:rFonts w:ascii="Adobe Garamond Pro" w:hAnsi="Adobe Garamond Pro"/>
          <w:szCs w:val="22"/>
          <w:lang w:val="en-US"/>
        </w:rPr>
        <w:t xml:space="preserve">) </w:t>
      </w:r>
    </w:p>
    <w:p w14:paraId="5EE33917" w14:textId="77777777" w:rsidR="009215C1" w:rsidRPr="0023426B" w:rsidRDefault="009215C1" w:rsidP="009215C1">
      <w:pPr>
        <w:rPr>
          <w:rFonts w:ascii="Adobe Garamond Pro" w:hAnsi="Adobe Garamond Pro"/>
          <w:szCs w:val="22"/>
          <w:lang w:val="en-US"/>
        </w:rPr>
      </w:pPr>
    </w:p>
    <w:p w14:paraId="4E120491" w14:textId="043384A2" w:rsidR="009215C1" w:rsidRPr="0023426B" w:rsidRDefault="009215C1" w:rsidP="009215C1">
      <w:pPr>
        <w:rPr>
          <w:rFonts w:ascii="Adobe Garamond Pro" w:hAnsi="Adobe Garamond Pro"/>
          <w:szCs w:val="22"/>
          <w:lang w:val="en-US"/>
        </w:rPr>
      </w:pPr>
      <w:r w:rsidRPr="0023426B">
        <w:rPr>
          <w:rFonts w:ascii="Adobe Garamond Pro" w:hAnsi="Adobe Garamond Pro"/>
          <w:szCs w:val="22"/>
          <w:lang w:val="en-US"/>
        </w:rPr>
        <w:t xml:space="preserve">Dingwall, G. (2004b). Trusting Archivists: The role of Archival Ethics codes in establishing </w:t>
      </w:r>
      <w:proofErr w:type="gramStart"/>
      <w:r w:rsidRPr="0023426B">
        <w:rPr>
          <w:rFonts w:ascii="Adobe Garamond Pro" w:hAnsi="Adobe Garamond Pro"/>
          <w:szCs w:val="22"/>
          <w:lang w:val="en-US"/>
        </w:rPr>
        <w:t>Public</w:t>
      </w:r>
      <w:proofErr w:type="gramEnd"/>
      <w:r w:rsidRPr="0023426B">
        <w:rPr>
          <w:rFonts w:ascii="Adobe Garamond Pro" w:hAnsi="Adobe Garamond Pro"/>
          <w:szCs w:val="22"/>
          <w:lang w:val="en-US"/>
        </w:rPr>
        <w:t xml:space="preserve"> faith. ˜the American Archivist, 67(1), 11–30. </w:t>
      </w:r>
      <w:hyperlink r:id="rId15" w:history="1">
        <w:r w:rsidRPr="0023426B">
          <w:rPr>
            <w:rStyle w:val="Hyperlnk"/>
            <w:rFonts w:ascii="Adobe Garamond Pro" w:hAnsi="Adobe Garamond Pro"/>
            <w:szCs w:val="22"/>
            <w:lang w:val="en-US"/>
          </w:rPr>
          <w:t>https://doi.org/10.17723/aarc.67.1.mw0914r2p52xx2t4</w:t>
        </w:r>
      </w:hyperlink>
      <w:r w:rsidRPr="0023426B">
        <w:rPr>
          <w:rFonts w:ascii="Adobe Garamond Pro" w:hAnsi="Adobe Garamond Pro"/>
          <w:szCs w:val="22"/>
          <w:lang w:val="en-US"/>
        </w:rPr>
        <w:t xml:space="preserve"> (20</w:t>
      </w:r>
      <w:r w:rsidR="00D2643E">
        <w:rPr>
          <w:rFonts w:ascii="Adobe Garamond Pro" w:hAnsi="Adobe Garamond Pro"/>
          <w:szCs w:val="22"/>
          <w:lang w:val="en-US"/>
        </w:rPr>
        <w:t xml:space="preserve"> </w:t>
      </w:r>
      <w:proofErr w:type="spellStart"/>
      <w:r w:rsidR="00D2643E">
        <w:rPr>
          <w:rFonts w:ascii="Adobe Garamond Pro" w:hAnsi="Adobe Garamond Pro"/>
          <w:szCs w:val="22"/>
          <w:lang w:val="en-US"/>
        </w:rPr>
        <w:t>sidor</w:t>
      </w:r>
      <w:proofErr w:type="spellEnd"/>
      <w:r w:rsidR="00D2643E">
        <w:rPr>
          <w:rFonts w:ascii="Adobe Garamond Pro" w:hAnsi="Adobe Garamond Pro"/>
          <w:szCs w:val="22"/>
          <w:lang w:val="en-US"/>
        </w:rPr>
        <w:t>)</w:t>
      </w:r>
    </w:p>
    <w:p w14:paraId="24460705" w14:textId="77777777" w:rsidR="009215C1" w:rsidRPr="0023426B" w:rsidRDefault="009215C1" w:rsidP="009215C1">
      <w:pPr>
        <w:rPr>
          <w:rFonts w:ascii="Adobe Garamond Pro" w:hAnsi="Adobe Garamond Pro"/>
          <w:szCs w:val="22"/>
          <w:lang w:val="en-US"/>
        </w:rPr>
      </w:pPr>
    </w:p>
    <w:p w14:paraId="2D880437" w14:textId="62805600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  <w:lang w:val="sv-SE"/>
        </w:rPr>
      </w:pPr>
      <w:r w:rsidRPr="0023426B">
        <w:rPr>
          <w:rFonts w:ascii="Adobe Garamond Pro" w:hAnsi="Adobe Garamond Pro" w:cs="Lucida Grande"/>
          <w:color w:val="444444"/>
          <w:szCs w:val="22"/>
        </w:rPr>
        <w:t>Eriksson, Johan (2024). </w:t>
      </w:r>
      <w:r w:rsidRPr="0023426B">
        <w:rPr>
          <w:rStyle w:val="Betoning"/>
          <w:rFonts w:ascii="Adobe Garamond Pro" w:hAnsi="Adobe Garamond Pro" w:cs="Lucida Grande"/>
          <w:color w:val="444444"/>
          <w:szCs w:val="22"/>
          <w:lang w:val="sv-SE"/>
        </w:rPr>
        <w:t>Öppna myndigheten: offentlighet, sekretess och GDPR i svensk förvaltning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. Widegrens förlag</w:t>
      </w:r>
      <w:r w:rsidR="00BA34E5">
        <w:rPr>
          <w:rFonts w:ascii="Adobe Garamond Pro" w:hAnsi="Adobe Garamond Pro" w:cs="Lucida Grande"/>
          <w:color w:val="444444"/>
          <w:szCs w:val="22"/>
          <w:lang w:val="sv-SE"/>
        </w:rPr>
        <w:t xml:space="preserve">. </w:t>
      </w:r>
      <w:r w:rsidR="00710588" w:rsidRPr="00710588">
        <w:rPr>
          <w:rFonts w:ascii="Adobe Garamond Pro" w:hAnsi="Adobe Garamond Pro" w:cs="Lucida Grande"/>
          <w:color w:val="444444"/>
          <w:szCs w:val="22"/>
        </w:rPr>
        <w:t>ISBN 9789198394672</w:t>
      </w:r>
      <w:r w:rsidR="00710588" w:rsidRPr="00710588">
        <w:rPr>
          <w:rFonts w:ascii="Adobe Garamond Pro" w:hAnsi="Adobe Garamond Pro" w:cs="Lucida Grande"/>
          <w:color w:val="444444"/>
          <w:szCs w:val="22"/>
          <w:lang w:val="sv-SE"/>
        </w:rPr>
        <w:t xml:space="preserve"> 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(253 s</w:t>
      </w:r>
      <w:r w:rsidR="00BA34E5">
        <w:rPr>
          <w:rFonts w:ascii="Adobe Garamond Pro" w:hAnsi="Adobe Garamond Pro" w:cs="Lucida Grande"/>
          <w:color w:val="444444"/>
          <w:szCs w:val="22"/>
          <w:lang w:val="sv-SE"/>
        </w:rPr>
        <w:t>idor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)</w:t>
      </w:r>
    </w:p>
    <w:p w14:paraId="56166AB3" w14:textId="77777777" w:rsidR="009215C1" w:rsidRPr="0023426B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062D8D15" w14:textId="7711233E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  <w:lang w:val="sv-SE"/>
        </w:rPr>
      </w:pP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Karlsson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Alverhill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,</w:t>
      </w:r>
      <w:r w:rsidR="00BA34E5">
        <w:rPr>
          <w:rFonts w:ascii="Adobe Garamond Pro" w:hAnsi="Adobe Garamond Pro" w:cs="Lucida Grande"/>
          <w:color w:val="444444"/>
          <w:szCs w:val="22"/>
          <w:lang w:val="sv-SE"/>
        </w:rPr>
        <w:t xml:space="preserve"> 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Rikard (2023). </w:t>
      </w:r>
      <w:r w:rsidRPr="0023426B">
        <w:rPr>
          <w:rStyle w:val="Betoning"/>
          <w:rFonts w:ascii="Adobe Garamond Pro" w:hAnsi="Adobe Garamond Pro" w:cs="Lucida Grande"/>
          <w:color w:val="444444"/>
          <w:szCs w:val="22"/>
          <w:lang w:val="sv-SE"/>
        </w:rPr>
        <w:t>Dataskyddsförordningen (GDPR) för offentlig sektor: en introduktion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. Upplaga 1 Lund: Studentlitteratur </w:t>
      </w:r>
      <w:r w:rsidR="00BA34E5" w:rsidRPr="00BA34E5">
        <w:rPr>
          <w:rFonts w:ascii="Adobe Garamond Pro" w:hAnsi="Adobe Garamond Pro" w:cs="Lucida Grande"/>
          <w:color w:val="444444"/>
          <w:szCs w:val="22"/>
        </w:rPr>
        <w:t>ISBN </w:t>
      </w:r>
      <w:proofErr w:type="gramStart"/>
      <w:r w:rsidR="00BA34E5" w:rsidRPr="00BA34E5">
        <w:rPr>
          <w:rFonts w:ascii="Adobe Garamond Pro" w:hAnsi="Adobe Garamond Pro" w:cs="Lucida Grande"/>
          <w:color w:val="444444"/>
          <w:szCs w:val="22"/>
        </w:rPr>
        <w:t>9789144159973</w:t>
      </w:r>
      <w:proofErr w:type="gramEnd"/>
      <w:r w:rsidR="00710588">
        <w:rPr>
          <w:rFonts w:ascii="Adobe Garamond Pro" w:hAnsi="Adobe Garamond Pro" w:cs="Lucida Grande"/>
          <w:color w:val="444444"/>
          <w:szCs w:val="22"/>
          <w:lang w:val="sv-SE"/>
        </w:rPr>
        <w:t xml:space="preserve"> 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(240</w:t>
      </w:r>
      <w:r w:rsidR="00BA34E5">
        <w:rPr>
          <w:rFonts w:ascii="Adobe Garamond Pro" w:hAnsi="Adobe Garamond Pro" w:cs="Lucida Grande"/>
          <w:color w:val="444444"/>
          <w:szCs w:val="22"/>
          <w:lang w:val="sv-SE"/>
        </w:rPr>
        <w:t xml:space="preserve"> sidor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)</w:t>
      </w:r>
    </w:p>
    <w:p w14:paraId="1C8A1A0D" w14:textId="77777777" w:rsidR="009215C1" w:rsidRPr="0023426B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791619C5" w14:textId="77777777" w:rsidR="009215C1" w:rsidRPr="0023426B" w:rsidRDefault="009215C1" w:rsidP="009215C1">
      <w:pPr>
        <w:rPr>
          <w:rFonts w:ascii="Adobe Garamond Pro" w:hAnsi="Adobe Garamond Pro"/>
          <w:szCs w:val="22"/>
          <w:lang w:val="en-US"/>
        </w:rPr>
      </w:pPr>
      <w:proofErr w:type="spellStart"/>
      <w:r w:rsidRPr="0023426B">
        <w:rPr>
          <w:rFonts w:ascii="Adobe Garamond Pro" w:hAnsi="Adobe Garamond Pro"/>
          <w:szCs w:val="22"/>
          <w:lang w:val="sv-SE"/>
        </w:rPr>
        <w:t>Pinto</w:t>
      </w:r>
      <w:proofErr w:type="spellEnd"/>
      <w:r w:rsidRPr="0023426B">
        <w:rPr>
          <w:rFonts w:ascii="Adobe Garamond Pro" w:hAnsi="Adobe Garamond Pro"/>
          <w:szCs w:val="22"/>
          <w:lang w:val="sv-SE"/>
        </w:rPr>
        <w:t xml:space="preserve">, A. B. (2022). </w:t>
      </w:r>
      <w:proofErr w:type="spellStart"/>
      <w:r w:rsidRPr="0023426B">
        <w:rPr>
          <w:rFonts w:ascii="Adobe Garamond Pro" w:hAnsi="Adobe Garamond Pro"/>
          <w:szCs w:val="22"/>
          <w:lang w:val="sv-SE"/>
        </w:rPr>
        <w:t>Scandia</w:t>
      </w:r>
      <w:proofErr w:type="spellEnd"/>
      <w:r w:rsidRPr="0023426B">
        <w:rPr>
          <w:rFonts w:ascii="Adobe Garamond Pro" w:hAnsi="Adobe Garamond Pro"/>
          <w:szCs w:val="22"/>
          <w:lang w:val="sv-SE"/>
        </w:rPr>
        <w:t xml:space="preserve"> debatt: En etik för arkivet? </w:t>
      </w:r>
      <w:r w:rsidRPr="0023426B">
        <w:rPr>
          <w:rFonts w:ascii="Adobe Garamond Pro" w:hAnsi="Adobe Garamond Pro"/>
          <w:szCs w:val="22"/>
          <w:lang w:val="en-US"/>
        </w:rPr>
        <w:t xml:space="preserve">Scandia, 88(1). </w:t>
      </w:r>
    </w:p>
    <w:p w14:paraId="59CBCF4D" w14:textId="655C561B" w:rsidR="00D2643E" w:rsidRDefault="00000000" w:rsidP="009215C1">
      <w:pPr>
        <w:rPr>
          <w:rFonts w:ascii="Adobe Garamond Pro" w:hAnsi="Adobe Garamond Pro"/>
          <w:szCs w:val="22"/>
          <w:lang w:val="sv-SE"/>
        </w:rPr>
      </w:pPr>
      <w:hyperlink r:id="rId16" w:history="1">
        <w:r w:rsidR="009215C1" w:rsidRPr="00D2643E">
          <w:rPr>
            <w:rStyle w:val="Hyperlnk"/>
            <w:rFonts w:ascii="Adobe Garamond Pro" w:hAnsi="Adobe Garamond Pro"/>
            <w:szCs w:val="22"/>
            <w:lang w:val="sv-SE"/>
          </w:rPr>
          <w:t>https://doi.o</w:t>
        </w:r>
        <w:r w:rsidR="009215C1" w:rsidRPr="00D2643E">
          <w:rPr>
            <w:rStyle w:val="Hyperlnk"/>
            <w:rFonts w:ascii="Adobe Garamond Pro" w:hAnsi="Adobe Garamond Pro"/>
            <w:szCs w:val="22"/>
            <w:lang w:val="sv-SE"/>
          </w:rPr>
          <w:t>r</w:t>
        </w:r>
        <w:r w:rsidR="009215C1" w:rsidRPr="00D2643E">
          <w:rPr>
            <w:rStyle w:val="Hyperlnk"/>
            <w:rFonts w:ascii="Adobe Garamond Pro" w:hAnsi="Adobe Garamond Pro"/>
            <w:szCs w:val="22"/>
            <w:lang w:val="sv-SE"/>
          </w:rPr>
          <w:t>g/10.47868/scandia.v88i1.24209</w:t>
        </w:r>
      </w:hyperlink>
      <w:r w:rsidR="00D2643E" w:rsidRPr="00D2643E">
        <w:rPr>
          <w:rStyle w:val="Hyperlnk"/>
          <w:rFonts w:ascii="Adobe Garamond Pro" w:hAnsi="Adobe Garamond Pro"/>
          <w:szCs w:val="22"/>
          <w:lang w:val="sv-SE"/>
        </w:rPr>
        <w:t xml:space="preserve"> </w:t>
      </w:r>
      <w:r w:rsidR="00D2643E" w:rsidRPr="00D2643E">
        <w:rPr>
          <w:rFonts w:ascii="Adobe Garamond Pro" w:hAnsi="Adobe Garamond Pro"/>
          <w:szCs w:val="22"/>
          <w:lang w:val="sv-SE"/>
        </w:rPr>
        <w:t xml:space="preserve">(16 sidor) </w:t>
      </w:r>
    </w:p>
    <w:p w14:paraId="76F41413" w14:textId="77777777" w:rsidR="00D2643E" w:rsidRPr="00D2643E" w:rsidRDefault="00D2643E" w:rsidP="009215C1">
      <w:pPr>
        <w:rPr>
          <w:rFonts w:ascii="Adobe Garamond Pro" w:hAnsi="Adobe Garamond Pro"/>
          <w:color w:val="0000FF"/>
          <w:szCs w:val="22"/>
          <w:u w:val="single"/>
          <w:lang w:val="sv-SE"/>
        </w:rPr>
      </w:pPr>
    </w:p>
    <w:p w14:paraId="11D200BA" w14:textId="1B79E639" w:rsidR="009215C1" w:rsidRPr="00DB4EDE" w:rsidRDefault="009215C1" w:rsidP="009215C1">
      <w:pPr>
        <w:rPr>
          <w:rFonts w:ascii="Adobe Garamond Pro" w:hAnsi="Adobe Garamond Pro"/>
          <w:szCs w:val="22"/>
          <w:lang w:val="sv-SE"/>
        </w:rPr>
      </w:pPr>
      <w:proofErr w:type="spellStart"/>
      <w:r w:rsidRPr="0023426B">
        <w:rPr>
          <w:rFonts w:ascii="Adobe Garamond Pro" w:hAnsi="Adobe Garamond Pro"/>
          <w:szCs w:val="22"/>
          <w:lang w:val="en-US"/>
        </w:rPr>
        <w:t>Sköld</w:t>
      </w:r>
      <w:proofErr w:type="spellEnd"/>
      <w:r w:rsidRPr="0023426B">
        <w:rPr>
          <w:rFonts w:ascii="Adobe Garamond Pro" w:hAnsi="Adobe Garamond Pro"/>
          <w:szCs w:val="22"/>
          <w:lang w:val="en-US"/>
        </w:rPr>
        <w:t xml:space="preserve">, Johanna Letters intended for someone else: ethical reflections on access to historical experience in private collections – the politics of family secrecy. </w:t>
      </w:r>
      <w:hyperlink r:id="rId17" w:history="1">
        <w:r w:rsidRPr="00DB4EDE">
          <w:rPr>
            <w:rStyle w:val="Hyperlnk"/>
            <w:rFonts w:ascii="Adobe Garamond Pro" w:hAnsi="Adobe Garamond Pro"/>
            <w:szCs w:val="22"/>
            <w:lang w:val="sv-SE"/>
          </w:rPr>
          <w:t>https://familysecrecy.sites.ku.dk/letters-intended-for-someone-else-ethical-reflexions-on-access-to-historical-experience-in-private-collections/</w:t>
        </w:r>
      </w:hyperlink>
      <w:r w:rsidRPr="00DB4EDE">
        <w:rPr>
          <w:rFonts w:ascii="Adobe Garamond Pro" w:hAnsi="Adobe Garamond Pro"/>
          <w:szCs w:val="22"/>
          <w:lang w:val="sv-SE"/>
        </w:rPr>
        <w:t xml:space="preserve"> (5</w:t>
      </w:r>
      <w:r w:rsidR="00DB4EDE" w:rsidRPr="00DB4EDE">
        <w:rPr>
          <w:rFonts w:ascii="Adobe Garamond Pro" w:hAnsi="Adobe Garamond Pro"/>
          <w:szCs w:val="22"/>
          <w:lang w:val="sv-SE"/>
        </w:rPr>
        <w:t xml:space="preserve"> sidor</w:t>
      </w:r>
      <w:r w:rsidRPr="00DB4EDE">
        <w:rPr>
          <w:rFonts w:ascii="Adobe Garamond Pro" w:hAnsi="Adobe Garamond Pro"/>
          <w:szCs w:val="22"/>
          <w:lang w:val="sv-SE"/>
        </w:rPr>
        <w:t>)</w:t>
      </w:r>
    </w:p>
    <w:p w14:paraId="4072A9F9" w14:textId="77777777" w:rsidR="009215C1" w:rsidRPr="00DB4EDE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09EF9D76" w14:textId="6C4AC142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  <w:lang w:val="sv-SE"/>
        </w:rPr>
      </w:pP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Wallberg,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Evabritta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 (2006). Personarkiv - några problemområden. I: </w:t>
      </w:r>
      <w:r w:rsidRPr="0023426B">
        <w:rPr>
          <w:rFonts w:ascii="Adobe Garamond Pro" w:hAnsi="Adobe Garamond Pro" w:cs="Lucida Grande"/>
          <w:i/>
          <w:iCs/>
          <w:color w:val="444444"/>
          <w:szCs w:val="22"/>
          <w:lang w:val="sv-SE"/>
        </w:rPr>
        <w:t>Årsbok för Riksarkivet och landsarkiven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. </w:t>
      </w:r>
      <w:r w:rsidRPr="0023426B">
        <w:rPr>
          <w:rFonts w:ascii="Adobe Garamond Pro" w:hAnsi="Adobe Garamond Pro" w:cs="Lucida Grande"/>
          <w:i/>
          <w:iCs/>
          <w:color w:val="444444"/>
          <w:szCs w:val="22"/>
          <w:lang w:val="sv-SE"/>
        </w:rPr>
        <w:t>Liv i eftervärldens spegel: om arkiv och samlingar efter personer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. 2006, (s. </w:t>
      </w:r>
      <w:proofErr w:type="gram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58-77</w:t>
      </w:r>
      <w:proofErr w:type="gram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)</w:t>
      </w:r>
      <w:r w:rsidR="00D2643E">
        <w:rPr>
          <w:rFonts w:ascii="Adobe Garamond Pro" w:hAnsi="Adobe Garamond Pro" w:cs="Lucida Grande"/>
          <w:color w:val="444444"/>
          <w:szCs w:val="22"/>
          <w:lang w:val="sv-SE"/>
        </w:rPr>
        <w:t xml:space="preserve"> </w:t>
      </w:r>
      <w:r w:rsidR="00710588" w:rsidRPr="00710588">
        <w:rPr>
          <w:rFonts w:ascii="Adobe Garamond Pro" w:hAnsi="Adobe Garamond Pro" w:cs="Lucida Grande"/>
          <w:color w:val="444444"/>
          <w:szCs w:val="22"/>
        </w:rPr>
        <w:t>ISBN 9188366723</w:t>
      </w:r>
      <w:r w:rsidR="00710588" w:rsidRPr="00710588">
        <w:rPr>
          <w:rFonts w:ascii="Adobe Garamond Pro" w:hAnsi="Adobe Garamond Pro" w:cs="Lucida Grande"/>
          <w:color w:val="444444"/>
          <w:szCs w:val="22"/>
          <w:lang w:val="sv-SE"/>
        </w:rPr>
        <w:t xml:space="preserve"> </w:t>
      </w:r>
      <w:r w:rsidR="00D2643E">
        <w:rPr>
          <w:rFonts w:ascii="Adobe Garamond Pro" w:hAnsi="Adobe Garamond Pro" w:cs="Lucida Grande"/>
          <w:color w:val="444444"/>
          <w:szCs w:val="22"/>
          <w:lang w:val="sv-SE"/>
        </w:rPr>
        <w:t>(19 sidor)</w:t>
      </w:r>
    </w:p>
    <w:p w14:paraId="4F6758E1" w14:textId="77777777" w:rsidR="009215C1" w:rsidRPr="0023426B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02EFAF1C" w14:textId="0EB8FC6F" w:rsidR="00D2643E" w:rsidRDefault="0023426B" w:rsidP="009215C1">
      <w:pPr>
        <w:rPr>
          <w:rFonts w:ascii="Adobe Garamond Pro" w:hAnsi="Adobe Garamond Pro"/>
          <w:szCs w:val="22"/>
          <w:lang w:val="sv-SE"/>
        </w:rPr>
      </w:pPr>
      <w:r w:rsidRPr="0023426B">
        <w:rPr>
          <w:rFonts w:ascii="Adobe Garamond Pro" w:hAnsi="Adobe Garamond Pro"/>
          <w:szCs w:val="22"/>
          <w:lang w:val="sv-SE"/>
        </w:rPr>
        <w:t>Tillkommer</w:t>
      </w:r>
      <w:r w:rsidR="00216544">
        <w:rPr>
          <w:rFonts w:ascii="Adobe Garamond Pro" w:hAnsi="Adobe Garamond Pro"/>
          <w:szCs w:val="22"/>
          <w:lang w:val="sv-SE"/>
        </w:rPr>
        <w:t>:</w:t>
      </w:r>
      <w:r w:rsidR="009215C1" w:rsidRPr="0023426B">
        <w:rPr>
          <w:rFonts w:ascii="Adobe Garamond Pro" w:hAnsi="Adobe Garamond Pro"/>
          <w:szCs w:val="22"/>
          <w:lang w:val="sv-SE"/>
        </w:rPr>
        <w:t xml:space="preserve"> 2</w:t>
      </w:r>
      <w:r w:rsidRPr="0023426B">
        <w:rPr>
          <w:rFonts w:ascii="Adobe Garamond Pro" w:hAnsi="Adobe Garamond Pro"/>
          <w:szCs w:val="22"/>
          <w:lang w:val="sv-SE"/>
        </w:rPr>
        <w:t>5</w:t>
      </w:r>
      <w:r w:rsidR="009215C1" w:rsidRPr="0023426B">
        <w:rPr>
          <w:rFonts w:ascii="Adobe Garamond Pro" w:hAnsi="Adobe Garamond Pro"/>
          <w:szCs w:val="22"/>
          <w:lang w:val="sv-SE"/>
        </w:rPr>
        <w:t xml:space="preserve">0 sidor </w:t>
      </w:r>
      <w:r w:rsidR="006D4E24">
        <w:rPr>
          <w:rFonts w:ascii="Adobe Garamond Pro" w:hAnsi="Adobe Garamond Pro"/>
          <w:szCs w:val="22"/>
          <w:lang w:val="sv-SE"/>
        </w:rPr>
        <w:t>litteratur</w:t>
      </w:r>
    </w:p>
    <w:p w14:paraId="1AC01ACB" w14:textId="77777777" w:rsidR="00BD0784" w:rsidRDefault="00BD0784" w:rsidP="009215C1">
      <w:pPr>
        <w:rPr>
          <w:rFonts w:ascii="Adobe Garamond Pro" w:hAnsi="Adobe Garamond Pro"/>
          <w:szCs w:val="22"/>
          <w:lang w:val="sv-SE"/>
        </w:rPr>
      </w:pPr>
    </w:p>
    <w:p w14:paraId="1C5432E1" w14:textId="26FCD313" w:rsidR="00BD0784" w:rsidRPr="00BD0784" w:rsidRDefault="00BD0784" w:rsidP="009215C1">
      <w:pPr>
        <w:rPr>
          <w:rFonts w:ascii="Adobe Garamond Pro" w:hAnsi="Adobe Garamond Pro"/>
          <w:b/>
          <w:bCs/>
          <w:szCs w:val="22"/>
          <w:lang w:val="sv-SE"/>
        </w:rPr>
      </w:pPr>
      <w:r w:rsidRPr="00BD0784">
        <w:rPr>
          <w:rFonts w:ascii="Adobe Garamond Pro" w:hAnsi="Adobe Garamond Pro"/>
          <w:b/>
          <w:bCs/>
          <w:szCs w:val="22"/>
          <w:lang w:val="sv-SE"/>
        </w:rPr>
        <w:t xml:space="preserve">Totalt </w:t>
      </w:r>
      <w:r w:rsidR="00BA34E5">
        <w:rPr>
          <w:rFonts w:ascii="Adobe Garamond Pro" w:hAnsi="Adobe Garamond Pro"/>
          <w:b/>
          <w:bCs/>
          <w:szCs w:val="22"/>
          <w:lang w:val="sv-SE"/>
        </w:rPr>
        <w:t>832</w:t>
      </w:r>
      <w:r w:rsidRPr="00BD0784">
        <w:rPr>
          <w:rFonts w:ascii="Adobe Garamond Pro" w:hAnsi="Adobe Garamond Pro"/>
          <w:b/>
          <w:bCs/>
          <w:szCs w:val="22"/>
          <w:lang w:val="sv-SE"/>
        </w:rPr>
        <w:t xml:space="preserve"> sidor</w:t>
      </w:r>
    </w:p>
    <w:p w14:paraId="56AF3709" w14:textId="77777777" w:rsidR="00D2643E" w:rsidRPr="0023426B" w:rsidRDefault="00D2643E" w:rsidP="009215C1">
      <w:pPr>
        <w:rPr>
          <w:rFonts w:ascii="Adobe Garamond Pro" w:hAnsi="Adobe Garamond Pro"/>
          <w:szCs w:val="22"/>
          <w:lang w:val="sv-SE"/>
        </w:rPr>
      </w:pPr>
    </w:p>
    <w:p w14:paraId="2286D3AF" w14:textId="4382039F" w:rsidR="009215C1" w:rsidRPr="0023426B" w:rsidRDefault="009215C1" w:rsidP="009215C1">
      <w:pPr>
        <w:rPr>
          <w:rFonts w:ascii="Adobe Garamond Pro" w:hAnsi="Adobe Garamond Pro"/>
          <w:b/>
          <w:bCs/>
          <w:szCs w:val="22"/>
          <w:lang w:val="sv-SE"/>
        </w:rPr>
      </w:pPr>
      <w:r w:rsidRPr="0023426B">
        <w:rPr>
          <w:rFonts w:ascii="Adobe Garamond Pro" w:hAnsi="Adobe Garamond Pro"/>
          <w:b/>
          <w:bCs/>
          <w:szCs w:val="22"/>
          <w:lang w:val="sv-SE"/>
        </w:rPr>
        <w:t>Referenslitteratur</w:t>
      </w:r>
    </w:p>
    <w:p w14:paraId="2973A3DD" w14:textId="77777777" w:rsidR="009215C1" w:rsidRPr="0023426B" w:rsidRDefault="009215C1" w:rsidP="009215C1">
      <w:pPr>
        <w:rPr>
          <w:rFonts w:ascii="Adobe Garamond Pro" w:hAnsi="Adobe Garamond Pro"/>
          <w:szCs w:val="22"/>
          <w:lang w:val="sv-SE"/>
        </w:rPr>
      </w:pPr>
    </w:p>
    <w:p w14:paraId="2B3BD090" w14:textId="77777777" w:rsidR="0023426B" w:rsidRPr="0023426B" w:rsidRDefault="0023426B" w:rsidP="0023426B">
      <w:pPr>
        <w:rPr>
          <w:rFonts w:ascii="Adobe Garamond Pro" w:hAnsi="Adobe Garamond Pro"/>
          <w:szCs w:val="22"/>
          <w:lang w:val="sv-SE"/>
        </w:rPr>
      </w:pPr>
      <w:r w:rsidRPr="0023426B">
        <w:rPr>
          <w:rFonts w:ascii="Adobe Garamond Pro" w:hAnsi="Adobe Garamond Pro"/>
          <w:szCs w:val="22"/>
          <w:lang w:val="sv-SE"/>
        </w:rPr>
        <w:t xml:space="preserve">Barn och ungas rättigheter i digitala plattformar. Integritetsskyddsmyndigheten </w:t>
      </w:r>
    </w:p>
    <w:p w14:paraId="30BCE32E" w14:textId="77777777" w:rsidR="0023426B" w:rsidRPr="0023426B" w:rsidRDefault="00000000" w:rsidP="0023426B">
      <w:pPr>
        <w:rPr>
          <w:rFonts w:ascii="Adobe Garamond Pro" w:hAnsi="Adobe Garamond Pro"/>
          <w:szCs w:val="22"/>
          <w:lang w:val="sv-SE"/>
        </w:rPr>
      </w:pPr>
      <w:hyperlink r:id="rId18" w:history="1">
        <w:r w:rsidR="0023426B" w:rsidRPr="0023426B">
          <w:rPr>
            <w:rStyle w:val="Hyperlnk"/>
            <w:rFonts w:ascii="Adobe Garamond Pro" w:hAnsi="Adobe Garamond Pro"/>
            <w:szCs w:val="22"/>
            <w:lang w:val="sv-SE"/>
          </w:rPr>
          <w:t>https://www.imy.se/globalassets/dokument/ovrigt/barn-och-ungas-rattigheter-pa-digitala-plattformar.pdf</w:t>
        </w:r>
      </w:hyperlink>
      <w:r w:rsidR="0023426B" w:rsidRPr="0023426B">
        <w:rPr>
          <w:rFonts w:ascii="Adobe Garamond Pro" w:hAnsi="Adobe Garamond Pro"/>
          <w:szCs w:val="22"/>
          <w:lang w:val="sv-SE"/>
        </w:rPr>
        <w:t xml:space="preserve"> (48s)</w:t>
      </w:r>
    </w:p>
    <w:p w14:paraId="675C437E" w14:textId="77777777" w:rsidR="0023426B" w:rsidRPr="0023426B" w:rsidRDefault="0023426B" w:rsidP="0023426B">
      <w:pPr>
        <w:rPr>
          <w:rFonts w:ascii="Adobe Garamond Pro" w:hAnsi="Adobe Garamond Pro"/>
          <w:szCs w:val="22"/>
          <w:lang w:val="sv-SE"/>
        </w:rPr>
      </w:pPr>
    </w:p>
    <w:p w14:paraId="5D435BBB" w14:textId="45193FF3" w:rsidR="0023426B" w:rsidRDefault="0023426B" w:rsidP="0023426B">
      <w:pPr>
        <w:rPr>
          <w:rFonts w:ascii="Adobe Garamond Pro" w:hAnsi="Adobe Garamond Pro"/>
          <w:szCs w:val="22"/>
          <w:lang w:val="sv-SE"/>
        </w:rPr>
      </w:pPr>
      <w:r w:rsidRPr="0023426B">
        <w:rPr>
          <w:rFonts w:ascii="Adobe Garamond Pro" w:hAnsi="Adobe Garamond Pro"/>
          <w:szCs w:val="22"/>
          <w:lang w:val="sv-SE"/>
        </w:rPr>
        <w:t xml:space="preserve">God forskningssed. Vetenskapsrådet (84 sidor) f </w:t>
      </w:r>
      <w:hyperlink r:id="rId19" w:history="1">
        <w:r w:rsidR="00E07EB4" w:rsidRPr="00A42C67">
          <w:rPr>
            <w:rStyle w:val="Hyperlnk"/>
            <w:rFonts w:ascii="Adobe Garamond Pro" w:hAnsi="Adobe Garamond Pro"/>
            <w:szCs w:val="22"/>
            <w:lang w:val="sv-SE"/>
          </w:rPr>
          <w:t>https://www.vr.se/download/18.2412c5311624176023d25b05/1555332112063/God-forskningssed_VR_2017.pdf</w:t>
        </w:r>
      </w:hyperlink>
    </w:p>
    <w:p w14:paraId="76EC88D6" w14:textId="77777777" w:rsidR="00E07EB4" w:rsidRDefault="00E07EB4" w:rsidP="0023426B">
      <w:pPr>
        <w:rPr>
          <w:rFonts w:ascii="Adobe Garamond Pro" w:hAnsi="Adobe Garamond Pro"/>
          <w:szCs w:val="22"/>
          <w:lang w:val="sv-SE"/>
        </w:rPr>
      </w:pPr>
    </w:p>
    <w:p w14:paraId="3073066F" w14:textId="30A3E054" w:rsidR="00E07EB4" w:rsidRPr="00E07EB4" w:rsidRDefault="00E07EB4" w:rsidP="0023426B">
      <w:pPr>
        <w:rPr>
          <w:rFonts w:ascii="Adobe Garamond Pro" w:hAnsi="Adobe Garamond Pro"/>
          <w:szCs w:val="22"/>
          <w:lang w:val="sv-SE"/>
        </w:rPr>
      </w:pPr>
      <w:r w:rsidRPr="00E07EB4">
        <w:rPr>
          <w:rFonts w:ascii="Adobe Garamond Pro" w:hAnsi="Adobe Garamond Pro"/>
          <w:szCs w:val="22"/>
          <w:lang w:val="sv-SE"/>
        </w:rPr>
        <w:t>Integritetsskyddsmyndigheten. (</w:t>
      </w:r>
      <w:proofErr w:type="spellStart"/>
      <w:r w:rsidRPr="00E07EB4">
        <w:rPr>
          <w:rFonts w:ascii="Adobe Garamond Pro" w:hAnsi="Adobe Garamond Pro"/>
          <w:szCs w:val="22"/>
          <w:lang w:val="sv-SE"/>
        </w:rPr>
        <w:t>n.d</w:t>
      </w:r>
      <w:proofErr w:type="spellEnd"/>
      <w:r w:rsidRPr="00E07EB4">
        <w:rPr>
          <w:rFonts w:ascii="Adobe Garamond Pro" w:hAnsi="Adobe Garamond Pro"/>
          <w:szCs w:val="22"/>
          <w:lang w:val="sv-SE"/>
        </w:rPr>
        <w:t>.). </w:t>
      </w:r>
      <w:r w:rsidRPr="00E07EB4">
        <w:rPr>
          <w:rFonts w:ascii="Adobe Garamond Pro" w:hAnsi="Adobe Garamond Pro"/>
          <w:i/>
          <w:iCs/>
          <w:szCs w:val="22"/>
          <w:lang w:val="sv-SE"/>
        </w:rPr>
        <w:t>Grundläggande principer</w:t>
      </w:r>
      <w:r w:rsidRPr="00E07EB4">
        <w:rPr>
          <w:rFonts w:ascii="Adobe Garamond Pro" w:hAnsi="Adobe Garamond Pro"/>
          <w:szCs w:val="22"/>
          <w:lang w:val="sv-SE"/>
        </w:rPr>
        <w:t>. https://www.imy.se/verksamhet/dataskydd/det-har-galler-enligt-gdpr/grundlaggande-principer/</w:t>
      </w:r>
    </w:p>
    <w:p w14:paraId="7053E349" w14:textId="77777777" w:rsidR="0023426B" w:rsidRPr="0023426B" w:rsidRDefault="0023426B" w:rsidP="0023426B">
      <w:pPr>
        <w:rPr>
          <w:rFonts w:ascii="Adobe Garamond Pro" w:hAnsi="Adobe Garamond Pro"/>
          <w:szCs w:val="22"/>
          <w:lang w:val="sv-SE"/>
        </w:rPr>
      </w:pPr>
    </w:p>
    <w:p w14:paraId="2312A0B4" w14:textId="7C42B029" w:rsidR="0023426B" w:rsidRPr="0023426B" w:rsidRDefault="0023426B" w:rsidP="0023426B">
      <w:pPr>
        <w:shd w:val="clear" w:color="auto" w:fill="FFFFFF"/>
        <w:spacing w:line="240" w:lineRule="auto"/>
        <w:rPr>
          <w:rFonts w:ascii="Adobe Garamond Pro" w:hAnsi="Adobe Garamond Pro" w:cs="Lucida Grande"/>
          <w:color w:val="444444"/>
          <w:szCs w:val="22"/>
          <w:lang w:val="sv-SE"/>
        </w:rPr>
      </w:pP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Ledendal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, Jonas, Larsson, Stefan &amp; Wernberg, Joakim (2018). </w:t>
      </w:r>
      <w:r w:rsidRPr="0023426B">
        <w:rPr>
          <w:rFonts w:ascii="Adobe Garamond Pro" w:hAnsi="Adobe Garamond Pro" w:cs="Lucida Grande"/>
          <w:i/>
          <w:iCs/>
          <w:color w:val="444444"/>
          <w:szCs w:val="22"/>
          <w:lang w:val="sv-SE"/>
        </w:rPr>
        <w:t>Offentlighet i det digitala samhället: vidareutnyttjande, sekretess och dataskydd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. Upplaga 1 Stockholm: Norstedts juridik</w:t>
      </w:r>
      <w:r w:rsidR="009434ED">
        <w:rPr>
          <w:rFonts w:ascii="Adobe Garamond Pro" w:hAnsi="Adobe Garamond Pro" w:cs="Lucida Grande"/>
          <w:color w:val="444444"/>
          <w:szCs w:val="22"/>
          <w:lang w:val="sv-SE"/>
        </w:rPr>
        <w:t xml:space="preserve">. </w:t>
      </w:r>
      <w:r w:rsidR="009434ED" w:rsidRPr="009434ED">
        <w:rPr>
          <w:rFonts w:ascii="Adobe Garamond Pro" w:hAnsi="Adobe Garamond Pro" w:cs="Lucida Grande"/>
          <w:color w:val="444444"/>
          <w:szCs w:val="22"/>
        </w:rPr>
        <w:t>ISBN 9789139115526</w:t>
      </w:r>
      <w:r w:rsidR="009434ED">
        <w:rPr>
          <w:rFonts w:ascii="Adobe Garamond Pro" w:hAnsi="Adobe Garamond Pro" w:cs="Lucida Grande"/>
          <w:color w:val="444444"/>
          <w:szCs w:val="22"/>
        </w:rPr>
        <w:t xml:space="preserve"> (323 </w:t>
      </w:r>
      <w:proofErr w:type="spellStart"/>
      <w:r w:rsidR="009434ED">
        <w:rPr>
          <w:rFonts w:ascii="Adobe Garamond Pro" w:hAnsi="Adobe Garamond Pro" w:cs="Lucida Grande"/>
          <w:color w:val="444444"/>
          <w:szCs w:val="22"/>
        </w:rPr>
        <w:t>sidor</w:t>
      </w:r>
      <w:proofErr w:type="spellEnd"/>
      <w:r w:rsidR="009434ED">
        <w:rPr>
          <w:rFonts w:ascii="Adobe Garamond Pro" w:hAnsi="Adobe Garamond Pro" w:cs="Lucida Grande"/>
          <w:color w:val="444444"/>
          <w:szCs w:val="22"/>
        </w:rPr>
        <w:t>)</w:t>
      </w:r>
    </w:p>
    <w:p w14:paraId="1B40E15E" w14:textId="77777777" w:rsidR="0023426B" w:rsidRPr="0023426B" w:rsidRDefault="0023426B" w:rsidP="009215C1">
      <w:pPr>
        <w:rPr>
          <w:rFonts w:ascii="Adobe Garamond Pro" w:hAnsi="Adobe Garamond Pro"/>
          <w:szCs w:val="22"/>
          <w:lang w:val="sv-SE"/>
        </w:rPr>
      </w:pPr>
    </w:p>
    <w:p w14:paraId="54620D1B" w14:textId="119A13EA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  <w:lang w:val="sv-SE"/>
        </w:rPr>
      </w:pP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Wendleby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, Monika &amp; Wetterberg, Dag (2019). </w:t>
      </w:r>
      <w:r w:rsidRPr="0023426B">
        <w:rPr>
          <w:rStyle w:val="Betoning"/>
          <w:rFonts w:ascii="Adobe Garamond Pro" w:hAnsi="Adobe Garamond Pro" w:cs="Lucida Grande"/>
          <w:color w:val="444444"/>
          <w:szCs w:val="22"/>
          <w:lang w:val="sv-SE"/>
        </w:rPr>
        <w:t>Dataskyddsförordningen GDPR: förstå och tillämpa i praktiken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. Andra upplagan Stockholm: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Sanoma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 Utbildning</w:t>
      </w:r>
      <w:r w:rsidR="009434ED">
        <w:rPr>
          <w:rFonts w:ascii="Adobe Garamond Pro" w:hAnsi="Adobe Garamond Pro" w:cs="Lucida Grande"/>
          <w:color w:val="444444"/>
          <w:szCs w:val="22"/>
          <w:lang w:val="sv-SE"/>
        </w:rPr>
        <w:t xml:space="preserve">. </w:t>
      </w:r>
      <w:r w:rsidR="009434ED" w:rsidRPr="009434ED">
        <w:rPr>
          <w:rFonts w:ascii="Adobe Garamond Pro" w:hAnsi="Adobe Garamond Pro" w:cs="Lucida Grande"/>
          <w:color w:val="444444"/>
          <w:szCs w:val="22"/>
        </w:rPr>
        <w:t>ISBN 9789152356340</w:t>
      </w:r>
      <w:r w:rsidR="009434ED">
        <w:rPr>
          <w:rFonts w:ascii="Adobe Garamond Pro" w:hAnsi="Adobe Garamond Pro" w:cs="Lucida Grande"/>
          <w:color w:val="444444"/>
          <w:szCs w:val="22"/>
        </w:rPr>
        <w:t xml:space="preserve"> (528 </w:t>
      </w:r>
      <w:proofErr w:type="spellStart"/>
      <w:r w:rsidR="009434ED">
        <w:rPr>
          <w:rFonts w:ascii="Adobe Garamond Pro" w:hAnsi="Adobe Garamond Pro" w:cs="Lucida Grande"/>
          <w:color w:val="444444"/>
          <w:szCs w:val="22"/>
        </w:rPr>
        <w:t>sidor</w:t>
      </w:r>
      <w:proofErr w:type="spellEnd"/>
      <w:r w:rsidR="009434ED">
        <w:rPr>
          <w:rFonts w:ascii="Adobe Garamond Pro" w:hAnsi="Adobe Garamond Pro" w:cs="Lucida Grande"/>
          <w:color w:val="444444"/>
          <w:szCs w:val="22"/>
        </w:rPr>
        <w:t>)</w:t>
      </w:r>
    </w:p>
    <w:p w14:paraId="509DAB03" w14:textId="6B459D7D" w:rsidR="009215C1" w:rsidRPr="0023426B" w:rsidRDefault="009215C1" w:rsidP="009215C1">
      <w:pPr>
        <w:shd w:val="clear" w:color="auto" w:fill="FFFFFF"/>
        <w:rPr>
          <w:rFonts w:ascii="Adobe Garamond Pro" w:hAnsi="Adobe Garamond Pro" w:cs="Lucida Grande"/>
          <w:color w:val="444444"/>
          <w:szCs w:val="22"/>
        </w:rPr>
      </w:pPr>
      <w:r w:rsidRPr="0023426B">
        <w:rPr>
          <w:rFonts w:ascii="Adobe Garamond Pro" w:hAnsi="Adobe Garamond Pro"/>
          <w:szCs w:val="22"/>
          <w:lang w:val="sv-SE"/>
        </w:rPr>
        <w:br/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Wendleby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>, Monika (2021). </w:t>
      </w:r>
      <w:r w:rsidRPr="0023426B">
        <w:rPr>
          <w:rStyle w:val="Betoning"/>
          <w:rFonts w:ascii="Adobe Garamond Pro" w:hAnsi="Adobe Garamond Pro" w:cs="Lucida Grande"/>
          <w:color w:val="444444"/>
          <w:szCs w:val="22"/>
          <w:lang w:val="sv-SE"/>
        </w:rPr>
        <w:t>Dataskyddsförordningen GDPR: hantera registrerades rättigheter</w:t>
      </w:r>
      <w:r w:rsidRPr="0023426B">
        <w:rPr>
          <w:rFonts w:ascii="Adobe Garamond Pro" w:hAnsi="Adobe Garamond Pro" w:cs="Lucida Grande"/>
          <w:color w:val="444444"/>
          <w:szCs w:val="22"/>
          <w:lang w:val="sv-SE"/>
        </w:rPr>
        <w:t xml:space="preserve">.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</w:rPr>
        <w:t>Första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</w:rPr>
        <w:t xml:space="preserve">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</w:rPr>
        <w:t>upplagan</w:t>
      </w:r>
      <w:proofErr w:type="spellEnd"/>
      <w:r w:rsidRPr="0023426B">
        <w:rPr>
          <w:rFonts w:ascii="Adobe Garamond Pro" w:hAnsi="Adobe Garamond Pro" w:cs="Lucida Grande"/>
          <w:color w:val="444444"/>
          <w:szCs w:val="22"/>
        </w:rPr>
        <w:t xml:space="preserve"> Stockholm: Sanoma </w:t>
      </w:r>
      <w:proofErr w:type="spellStart"/>
      <w:r w:rsidRPr="0023426B">
        <w:rPr>
          <w:rFonts w:ascii="Adobe Garamond Pro" w:hAnsi="Adobe Garamond Pro" w:cs="Lucida Grande"/>
          <w:color w:val="444444"/>
          <w:szCs w:val="22"/>
        </w:rPr>
        <w:t>utbildning</w:t>
      </w:r>
      <w:proofErr w:type="spellEnd"/>
      <w:r w:rsidR="009434ED">
        <w:rPr>
          <w:rFonts w:ascii="Adobe Garamond Pro" w:hAnsi="Adobe Garamond Pro" w:cs="Lucida Grande"/>
          <w:color w:val="444444"/>
          <w:szCs w:val="22"/>
        </w:rPr>
        <w:t xml:space="preserve">. </w:t>
      </w:r>
      <w:r w:rsidR="009434ED" w:rsidRPr="009434ED">
        <w:rPr>
          <w:rFonts w:ascii="Adobe Garamond Pro" w:hAnsi="Adobe Garamond Pro" w:cs="Lucida Grande"/>
          <w:color w:val="444444"/>
          <w:szCs w:val="22"/>
        </w:rPr>
        <w:t>ISBN 9789152360057</w:t>
      </w:r>
      <w:r w:rsidR="009434ED">
        <w:rPr>
          <w:rFonts w:ascii="Adobe Garamond Pro" w:hAnsi="Adobe Garamond Pro" w:cs="Lucida Grande"/>
          <w:color w:val="444444"/>
          <w:szCs w:val="22"/>
        </w:rPr>
        <w:t xml:space="preserve"> (748 </w:t>
      </w:r>
      <w:proofErr w:type="spellStart"/>
      <w:r w:rsidR="009434ED">
        <w:rPr>
          <w:rFonts w:ascii="Adobe Garamond Pro" w:hAnsi="Adobe Garamond Pro" w:cs="Lucida Grande"/>
          <w:color w:val="444444"/>
          <w:szCs w:val="22"/>
        </w:rPr>
        <w:t>sidor</w:t>
      </w:r>
      <w:proofErr w:type="spellEnd"/>
      <w:r w:rsidR="009434ED">
        <w:rPr>
          <w:rFonts w:ascii="Adobe Garamond Pro" w:hAnsi="Adobe Garamond Pro" w:cs="Lucida Grande"/>
          <w:color w:val="444444"/>
          <w:szCs w:val="22"/>
        </w:rPr>
        <w:t xml:space="preserve">). </w:t>
      </w:r>
    </w:p>
    <w:p w14:paraId="4BB662A3" w14:textId="77777777" w:rsidR="009215C1" w:rsidRPr="00431AAB" w:rsidRDefault="009215C1" w:rsidP="009215C1">
      <w:pPr>
        <w:shd w:val="clear" w:color="auto" w:fill="FFFFFF"/>
        <w:spacing w:after="240"/>
        <w:outlineLvl w:val="0"/>
        <w:rPr>
          <w:rFonts w:ascii="Montserrat" w:hAnsi="Montserrat"/>
          <w:color w:val="100A24"/>
        </w:rPr>
      </w:pPr>
    </w:p>
    <w:p w14:paraId="2EF2EB2C" w14:textId="77777777" w:rsidR="009215C1" w:rsidRDefault="009215C1" w:rsidP="009215C1"/>
    <w:p w14:paraId="3834B64D" w14:textId="77777777" w:rsidR="009215C1" w:rsidRDefault="009215C1" w:rsidP="009215C1"/>
    <w:p w14:paraId="59426E1B" w14:textId="77777777" w:rsidR="009215C1" w:rsidRDefault="009215C1" w:rsidP="009215C1"/>
    <w:p w14:paraId="6486DC3F" w14:textId="77777777" w:rsidR="009215C1" w:rsidRDefault="009215C1" w:rsidP="009215C1">
      <w:pPr>
        <w:rPr>
          <w:lang w:val="en-US"/>
        </w:rPr>
      </w:pPr>
    </w:p>
    <w:p w14:paraId="24BC3FF2" w14:textId="77777777" w:rsidR="009215C1" w:rsidRDefault="009215C1" w:rsidP="009215C1">
      <w:pPr>
        <w:rPr>
          <w:lang w:val="en-US"/>
        </w:rPr>
      </w:pPr>
    </w:p>
    <w:p w14:paraId="24C834CE" w14:textId="3213CF6A" w:rsidR="00CA3BA7" w:rsidRPr="0090462E" w:rsidRDefault="00CA3BA7" w:rsidP="009215C1">
      <w:pPr>
        <w:pStyle w:val="Rubrik2"/>
        <w:rPr>
          <w:lang w:val="sv-SE"/>
        </w:rPr>
      </w:pPr>
    </w:p>
    <w:sectPr w:rsidR="00CA3BA7" w:rsidRPr="0090462E" w:rsidSect="00BD4C09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4CC3" w14:textId="77777777" w:rsidR="0087433A" w:rsidRDefault="0087433A">
      <w:pPr>
        <w:spacing w:line="240" w:lineRule="auto"/>
      </w:pPr>
      <w:r>
        <w:separator/>
      </w:r>
    </w:p>
  </w:endnote>
  <w:endnote w:type="continuationSeparator" w:id="0">
    <w:p w14:paraId="77B1222E" w14:textId="77777777" w:rsidR="0087433A" w:rsidRDefault="0087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FFCD" w14:textId="77777777" w:rsidR="0087433A" w:rsidRDefault="0087433A">
      <w:pPr>
        <w:spacing w:line="240" w:lineRule="auto"/>
      </w:pPr>
      <w:r>
        <w:separator/>
      </w:r>
    </w:p>
  </w:footnote>
  <w:footnote w:type="continuationSeparator" w:id="0">
    <w:p w14:paraId="77CD3729" w14:textId="77777777" w:rsidR="0087433A" w:rsidRDefault="0087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2C859E1D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20291" w:rsidRPr="00A20291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20291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61E28F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77FA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93FAE"/>
    <w:multiLevelType w:val="multilevel"/>
    <w:tmpl w:val="68E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426">
    <w:abstractNumId w:val="4"/>
  </w:num>
  <w:num w:numId="2" w16cid:durableId="2122601236">
    <w:abstractNumId w:val="5"/>
  </w:num>
  <w:num w:numId="3" w16cid:durableId="1528445165">
    <w:abstractNumId w:val="6"/>
  </w:num>
  <w:num w:numId="4" w16cid:durableId="36660079">
    <w:abstractNumId w:val="7"/>
  </w:num>
  <w:num w:numId="5" w16cid:durableId="916792000">
    <w:abstractNumId w:val="9"/>
  </w:num>
  <w:num w:numId="6" w16cid:durableId="320161107">
    <w:abstractNumId w:val="0"/>
  </w:num>
  <w:num w:numId="7" w16cid:durableId="1483036579">
    <w:abstractNumId w:val="1"/>
  </w:num>
  <w:num w:numId="8" w16cid:durableId="1523014072">
    <w:abstractNumId w:val="2"/>
  </w:num>
  <w:num w:numId="9" w16cid:durableId="341854839">
    <w:abstractNumId w:val="3"/>
  </w:num>
  <w:num w:numId="10" w16cid:durableId="2076464318">
    <w:abstractNumId w:val="8"/>
  </w:num>
  <w:num w:numId="11" w16cid:durableId="1205752670">
    <w:abstractNumId w:val="12"/>
  </w:num>
  <w:num w:numId="12" w16cid:durableId="1196313690">
    <w:abstractNumId w:val="11"/>
  </w:num>
  <w:num w:numId="13" w16cid:durableId="930552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103E"/>
    <w:rsid w:val="0002626F"/>
    <w:rsid w:val="00032A59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4E9E"/>
    <w:rsid w:val="00186661"/>
    <w:rsid w:val="001A1A95"/>
    <w:rsid w:val="001B00F7"/>
    <w:rsid w:val="001D1F8D"/>
    <w:rsid w:val="00206681"/>
    <w:rsid w:val="00216544"/>
    <w:rsid w:val="00224155"/>
    <w:rsid w:val="002313EA"/>
    <w:rsid w:val="0023426B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77FA7"/>
    <w:rsid w:val="003858F7"/>
    <w:rsid w:val="003B2AE1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4E24"/>
    <w:rsid w:val="00705814"/>
    <w:rsid w:val="00710588"/>
    <w:rsid w:val="00732BDC"/>
    <w:rsid w:val="00746C3F"/>
    <w:rsid w:val="00751C76"/>
    <w:rsid w:val="00770CB7"/>
    <w:rsid w:val="007812DB"/>
    <w:rsid w:val="0080655D"/>
    <w:rsid w:val="00834203"/>
    <w:rsid w:val="00843E27"/>
    <w:rsid w:val="0087433A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15C1"/>
    <w:rsid w:val="00922638"/>
    <w:rsid w:val="00932C2C"/>
    <w:rsid w:val="009434ED"/>
    <w:rsid w:val="00955D0E"/>
    <w:rsid w:val="009A53F8"/>
    <w:rsid w:val="009A5B25"/>
    <w:rsid w:val="009B0515"/>
    <w:rsid w:val="009D6FE3"/>
    <w:rsid w:val="009E16E6"/>
    <w:rsid w:val="00A20291"/>
    <w:rsid w:val="00A5672F"/>
    <w:rsid w:val="00A76080"/>
    <w:rsid w:val="00A825DC"/>
    <w:rsid w:val="00AA2FCF"/>
    <w:rsid w:val="00B25EB6"/>
    <w:rsid w:val="00B42469"/>
    <w:rsid w:val="00BA15B7"/>
    <w:rsid w:val="00BA167B"/>
    <w:rsid w:val="00BA34E5"/>
    <w:rsid w:val="00BA49F5"/>
    <w:rsid w:val="00BC4172"/>
    <w:rsid w:val="00BD0784"/>
    <w:rsid w:val="00BD4C09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643E"/>
    <w:rsid w:val="00D6430B"/>
    <w:rsid w:val="00D86515"/>
    <w:rsid w:val="00D90F13"/>
    <w:rsid w:val="00DB4EDE"/>
    <w:rsid w:val="00DC71B2"/>
    <w:rsid w:val="00E012CB"/>
    <w:rsid w:val="00E07EB4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9215C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E07E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26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imy.se/globalassets/dokument/ovrigt/barn-och-ungas-rattigheter-pa-digitala-plattformar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familysecrecy.sites.ku.dk/letters-intended-for-someone-else-ethical-reflexions-on-access-to-historical-experience-in-private-collec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47868/scandia.v88i1.242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7723/aarc.67.1.mw0914r2p52xx2t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vr.se/download/18.2412c5311624176023d25b05/1555332112063/God-forskningssed_VR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080/0003981060069120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78C5-7EE7-4275-BEDE-E685491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4</cp:revision>
  <cp:lastPrinted>2024-06-05T09:56:00Z</cp:lastPrinted>
  <dcterms:created xsi:type="dcterms:W3CDTF">2024-06-10T08:21:00Z</dcterms:created>
  <dcterms:modified xsi:type="dcterms:W3CDTF">2024-06-12T12:47:00Z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88ab2c1dec83192543752853c69acd4796327c5e193ed81e652ce49088c1e56c</vt:lpwstr>
  </property>
</Properties>
</file>